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49A1" w14:textId="530FBF3E" w:rsidR="00485AB2" w:rsidRDefault="00485AB2" w:rsidP="00485AB2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85AB2">
        <w:rPr>
          <w:b/>
          <w:bCs/>
          <w:sz w:val="32"/>
          <w:szCs w:val="32"/>
          <w:u w:val="single"/>
          <w:lang w:val="en-US"/>
        </w:rPr>
        <w:t>DIXON v CROWN ESTATE COMMISSIONERS – A NEW WAY TO GET PROPERTY OUT OF A DISSOLVED COMPANY</w:t>
      </w:r>
    </w:p>
    <w:p w14:paraId="1E65A96F" w14:textId="77777777" w:rsidR="00C4500D" w:rsidRDefault="00C4500D" w:rsidP="00485AB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51952151" w14:textId="7B23B9F8" w:rsidR="00C4500D" w:rsidRDefault="0050016E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to get property (and </w:t>
      </w:r>
      <w:proofErr w:type="gramStart"/>
      <w:r>
        <w:rPr>
          <w:sz w:val="24"/>
          <w:szCs w:val="24"/>
          <w:lang w:val="en-US"/>
        </w:rPr>
        <w:t xml:space="preserve">in </w:t>
      </w:r>
      <w:r w:rsidR="00575E0D">
        <w:rPr>
          <w:sz w:val="24"/>
          <w:szCs w:val="24"/>
          <w:lang w:val="en-US"/>
        </w:rPr>
        <w:t>particular land</w:t>
      </w:r>
      <w:proofErr w:type="gramEnd"/>
      <w:r>
        <w:rPr>
          <w:sz w:val="24"/>
          <w:szCs w:val="24"/>
          <w:lang w:val="en-US"/>
        </w:rPr>
        <w:t>) back from a company which has been dissolved</w:t>
      </w:r>
      <w:r w:rsidR="00A7658D">
        <w:rPr>
          <w:sz w:val="24"/>
          <w:szCs w:val="24"/>
          <w:lang w:val="en-US"/>
        </w:rPr>
        <w:t xml:space="preserve"> and the 6 year time limit upon restoring the company has expired</w:t>
      </w:r>
      <w:r w:rsidR="002F5C6A">
        <w:rPr>
          <w:sz w:val="24"/>
          <w:szCs w:val="24"/>
          <w:lang w:val="en-US"/>
        </w:rPr>
        <w:t xml:space="preserve"> is a problem which </w:t>
      </w:r>
      <w:r w:rsidR="00856BD8">
        <w:rPr>
          <w:sz w:val="24"/>
          <w:szCs w:val="24"/>
          <w:lang w:val="en-US"/>
        </w:rPr>
        <w:t>arises with</w:t>
      </w:r>
      <w:r w:rsidR="002F5C6A">
        <w:rPr>
          <w:sz w:val="24"/>
          <w:szCs w:val="24"/>
          <w:lang w:val="en-US"/>
        </w:rPr>
        <w:t xml:space="preserve"> </w:t>
      </w:r>
      <w:r w:rsidR="00DB5C3B">
        <w:rPr>
          <w:sz w:val="24"/>
          <w:szCs w:val="24"/>
          <w:lang w:val="en-US"/>
        </w:rPr>
        <w:t>worrying</w:t>
      </w:r>
      <w:r w:rsidR="002F5C6A">
        <w:rPr>
          <w:sz w:val="24"/>
          <w:szCs w:val="24"/>
          <w:lang w:val="en-US"/>
        </w:rPr>
        <w:t xml:space="preserve"> frequency. </w:t>
      </w:r>
      <w:r w:rsidR="00472FCC">
        <w:rPr>
          <w:sz w:val="24"/>
          <w:szCs w:val="24"/>
          <w:lang w:val="en-US"/>
        </w:rPr>
        <w:t xml:space="preserve"> Upon </w:t>
      </w:r>
      <w:r w:rsidR="00575E0D">
        <w:rPr>
          <w:sz w:val="24"/>
          <w:szCs w:val="24"/>
          <w:lang w:val="en-US"/>
        </w:rPr>
        <w:t>dissolution land</w:t>
      </w:r>
      <w:r w:rsidR="00472FCC">
        <w:rPr>
          <w:sz w:val="24"/>
          <w:szCs w:val="24"/>
          <w:lang w:val="en-US"/>
        </w:rPr>
        <w:t xml:space="preserve"> vests in the Crown (or a Royal Duchy) as bona vacantia and </w:t>
      </w:r>
      <w:r w:rsidR="007C3FFC">
        <w:rPr>
          <w:sz w:val="24"/>
          <w:szCs w:val="24"/>
          <w:lang w:val="en-US"/>
        </w:rPr>
        <w:t xml:space="preserve">then may be the subject of an escheat to another manifestation of the Crown (or a Royal Duchy). </w:t>
      </w:r>
      <w:r w:rsidR="00E87C4D">
        <w:rPr>
          <w:sz w:val="24"/>
          <w:szCs w:val="24"/>
          <w:lang w:val="en-US"/>
        </w:rPr>
        <w:t xml:space="preserve"> In the significant case of </w:t>
      </w:r>
      <w:r w:rsidR="00E87C4D">
        <w:rPr>
          <w:i/>
          <w:iCs/>
          <w:sz w:val="24"/>
          <w:szCs w:val="24"/>
          <w:lang w:val="en-US"/>
        </w:rPr>
        <w:t xml:space="preserve">Dixon v Crown Estate </w:t>
      </w:r>
      <w:r w:rsidR="0015296A">
        <w:rPr>
          <w:i/>
          <w:iCs/>
          <w:sz w:val="24"/>
          <w:szCs w:val="24"/>
          <w:lang w:val="en-US"/>
        </w:rPr>
        <w:t>[2022] EWHC 3256 (Ch)</w:t>
      </w:r>
      <w:r w:rsidR="00B906AF">
        <w:rPr>
          <w:i/>
          <w:iCs/>
          <w:sz w:val="24"/>
          <w:szCs w:val="24"/>
          <w:lang w:val="en-US"/>
        </w:rPr>
        <w:t xml:space="preserve"> </w:t>
      </w:r>
      <w:r w:rsidR="00B906AF">
        <w:rPr>
          <w:sz w:val="24"/>
          <w:szCs w:val="24"/>
          <w:lang w:val="en-US"/>
        </w:rPr>
        <w:t>HH</w:t>
      </w:r>
      <w:r w:rsidR="0015296A">
        <w:rPr>
          <w:sz w:val="24"/>
          <w:szCs w:val="24"/>
          <w:lang w:val="en-US"/>
        </w:rPr>
        <w:t xml:space="preserve"> Judge Hodge KC sitting as a Judge of the High Court in </w:t>
      </w:r>
      <w:r w:rsidR="00575E0D">
        <w:rPr>
          <w:sz w:val="24"/>
          <w:szCs w:val="24"/>
          <w:lang w:val="en-US"/>
        </w:rPr>
        <w:t>Manchester accepted</w:t>
      </w:r>
      <w:r w:rsidR="00026254">
        <w:rPr>
          <w:sz w:val="24"/>
          <w:szCs w:val="24"/>
          <w:lang w:val="en-US"/>
        </w:rPr>
        <w:t xml:space="preserve"> a novel argument that the shareholders in the company</w:t>
      </w:r>
      <w:r w:rsidR="00816852">
        <w:rPr>
          <w:sz w:val="24"/>
          <w:szCs w:val="24"/>
          <w:lang w:val="en-US"/>
        </w:rPr>
        <w:t xml:space="preserve"> could rely upon a proprietary estoppel </w:t>
      </w:r>
      <w:r w:rsidR="00856BD8">
        <w:rPr>
          <w:sz w:val="24"/>
          <w:szCs w:val="24"/>
          <w:lang w:val="en-US"/>
        </w:rPr>
        <w:t>existing at</w:t>
      </w:r>
      <w:r w:rsidR="00816852">
        <w:rPr>
          <w:sz w:val="24"/>
          <w:szCs w:val="24"/>
          <w:lang w:val="en-US"/>
        </w:rPr>
        <w:t xml:space="preserve"> the date of </w:t>
      </w:r>
      <w:r w:rsidR="00856BD8">
        <w:rPr>
          <w:sz w:val="24"/>
          <w:szCs w:val="24"/>
          <w:lang w:val="en-US"/>
        </w:rPr>
        <w:t>dissolution to</w:t>
      </w:r>
      <w:r w:rsidR="006B0A9E">
        <w:rPr>
          <w:sz w:val="24"/>
          <w:szCs w:val="24"/>
          <w:lang w:val="en-US"/>
        </w:rPr>
        <w:t xml:space="preserve"> make a vesting order in their favour.</w:t>
      </w:r>
    </w:p>
    <w:p w14:paraId="6D83B4F5" w14:textId="26F6533B" w:rsidR="004832E8" w:rsidRDefault="001A5420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facts of the case were simple. The company </w:t>
      </w:r>
      <w:r w:rsidR="0039366A">
        <w:rPr>
          <w:sz w:val="24"/>
          <w:szCs w:val="24"/>
          <w:lang w:val="en-US"/>
        </w:rPr>
        <w:t>was entirely solvent and had 2 shareholders. Its assets consisted of two properties (both free from mortgage)</w:t>
      </w:r>
      <w:r w:rsidR="00AD72E3">
        <w:rPr>
          <w:sz w:val="24"/>
          <w:szCs w:val="24"/>
          <w:lang w:val="en-US"/>
        </w:rPr>
        <w:t xml:space="preserve"> and cash. The shareholders wished to amicably separate their business </w:t>
      </w:r>
      <w:r w:rsidR="00575E0D">
        <w:rPr>
          <w:sz w:val="24"/>
          <w:szCs w:val="24"/>
          <w:lang w:val="en-US"/>
        </w:rPr>
        <w:t>interests and</w:t>
      </w:r>
      <w:r w:rsidR="007F1DE6">
        <w:rPr>
          <w:sz w:val="24"/>
          <w:szCs w:val="24"/>
          <w:lang w:val="en-US"/>
        </w:rPr>
        <w:t xml:space="preserve"> were advised that the best way of doing so was to </w:t>
      </w:r>
      <w:r w:rsidR="004C5D73">
        <w:rPr>
          <w:sz w:val="24"/>
          <w:szCs w:val="24"/>
          <w:lang w:val="en-US"/>
        </w:rPr>
        <w:t>place the company in a members’ voluntary winding-up and distribute the assets in specie, in particular each shareholder was to take one property at an agreed valuation.</w:t>
      </w:r>
      <w:r w:rsidR="00AA00D0">
        <w:rPr>
          <w:sz w:val="24"/>
          <w:szCs w:val="24"/>
          <w:lang w:val="en-US"/>
        </w:rPr>
        <w:t xml:space="preserve"> The cash was duly distributed. </w:t>
      </w:r>
      <w:r w:rsidR="00986978">
        <w:rPr>
          <w:sz w:val="24"/>
          <w:szCs w:val="24"/>
          <w:lang w:val="en-US"/>
        </w:rPr>
        <w:t>Unfortunately,</w:t>
      </w:r>
      <w:r w:rsidR="007B0E26">
        <w:rPr>
          <w:sz w:val="24"/>
          <w:szCs w:val="24"/>
          <w:lang w:val="en-US"/>
        </w:rPr>
        <w:t xml:space="preserve"> none of the formalities for a winding-up took place and the two properties remained registered in the name of the company. However, the shareholders believed that the company had been wound </w:t>
      </w:r>
      <w:r w:rsidR="00986978">
        <w:rPr>
          <w:sz w:val="24"/>
          <w:szCs w:val="24"/>
          <w:lang w:val="en-US"/>
        </w:rPr>
        <w:t>up and</w:t>
      </w:r>
      <w:r w:rsidR="007B0E26">
        <w:rPr>
          <w:sz w:val="24"/>
          <w:szCs w:val="24"/>
          <w:lang w:val="en-US"/>
        </w:rPr>
        <w:t xml:space="preserve"> </w:t>
      </w:r>
      <w:proofErr w:type="gramStart"/>
      <w:r w:rsidR="007B0E26">
        <w:rPr>
          <w:sz w:val="24"/>
          <w:szCs w:val="24"/>
          <w:lang w:val="en-US"/>
        </w:rPr>
        <w:t>in particular that</w:t>
      </w:r>
      <w:proofErr w:type="gramEnd"/>
      <w:r w:rsidR="007B0E26">
        <w:rPr>
          <w:sz w:val="24"/>
          <w:szCs w:val="24"/>
          <w:lang w:val="en-US"/>
        </w:rPr>
        <w:t xml:space="preserve"> the properties had been transferred to the shareholders. </w:t>
      </w:r>
      <w:r w:rsidR="00424AC1">
        <w:rPr>
          <w:sz w:val="24"/>
          <w:szCs w:val="24"/>
          <w:lang w:val="en-US"/>
        </w:rPr>
        <w:t xml:space="preserve">Tax was paid on this </w:t>
      </w:r>
      <w:r w:rsidR="00986978">
        <w:rPr>
          <w:sz w:val="24"/>
          <w:szCs w:val="24"/>
          <w:lang w:val="en-US"/>
        </w:rPr>
        <w:t>basis and</w:t>
      </w:r>
      <w:r w:rsidR="00424AC1">
        <w:rPr>
          <w:sz w:val="24"/>
          <w:szCs w:val="24"/>
          <w:lang w:val="en-US"/>
        </w:rPr>
        <w:t xml:space="preserve"> the shareholders </w:t>
      </w:r>
      <w:r w:rsidR="009A2EA1">
        <w:rPr>
          <w:sz w:val="24"/>
          <w:szCs w:val="24"/>
          <w:lang w:val="en-US"/>
        </w:rPr>
        <w:t xml:space="preserve">knew of and encouraged the Registrar of Companies to strike the </w:t>
      </w:r>
      <w:r w:rsidR="0031395A">
        <w:rPr>
          <w:sz w:val="24"/>
          <w:szCs w:val="24"/>
          <w:lang w:val="en-US"/>
        </w:rPr>
        <w:t xml:space="preserve">company off the register.   The problem was only discovered well after the 6 year </w:t>
      </w:r>
      <w:r w:rsidR="004832E8">
        <w:rPr>
          <w:sz w:val="24"/>
          <w:szCs w:val="24"/>
          <w:lang w:val="en-US"/>
        </w:rPr>
        <w:t>time limit upon restoring a company to the register had expired.</w:t>
      </w:r>
    </w:p>
    <w:p w14:paraId="39CDA09F" w14:textId="696BBAB5" w:rsidR="00B906AF" w:rsidRDefault="00012203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shareholders ultimately applied to the High Court for orders vesting the two properties in them pursuant to </w:t>
      </w:r>
      <w:r>
        <w:rPr>
          <w:i/>
          <w:iCs/>
          <w:sz w:val="24"/>
          <w:szCs w:val="24"/>
          <w:lang w:val="en-US"/>
        </w:rPr>
        <w:t xml:space="preserve">s181 Law of Property Act </w:t>
      </w:r>
      <w:r w:rsidR="00986978">
        <w:rPr>
          <w:i/>
          <w:iCs/>
          <w:sz w:val="24"/>
          <w:szCs w:val="24"/>
          <w:lang w:val="en-US"/>
        </w:rPr>
        <w:t xml:space="preserve">1925 </w:t>
      </w:r>
      <w:r w:rsidR="00986978">
        <w:rPr>
          <w:sz w:val="24"/>
          <w:szCs w:val="24"/>
          <w:lang w:val="en-US"/>
        </w:rPr>
        <w:t>and</w:t>
      </w:r>
      <w:r w:rsidR="000D6E73">
        <w:rPr>
          <w:sz w:val="24"/>
          <w:szCs w:val="24"/>
          <w:lang w:val="en-US"/>
        </w:rPr>
        <w:t xml:space="preserve"> </w:t>
      </w:r>
      <w:r w:rsidR="000D6E73">
        <w:rPr>
          <w:i/>
          <w:iCs/>
          <w:sz w:val="24"/>
          <w:szCs w:val="24"/>
          <w:lang w:val="en-US"/>
        </w:rPr>
        <w:t>s44(ii)(c) Trustee Act 1925</w:t>
      </w:r>
      <w:r w:rsidR="000D6E73">
        <w:rPr>
          <w:sz w:val="24"/>
          <w:szCs w:val="24"/>
          <w:lang w:val="en-US"/>
        </w:rPr>
        <w:t>.</w:t>
      </w:r>
      <w:r w:rsidR="00AD72E3">
        <w:rPr>
          <w:sz w:val="24"/>
          <w:szCs w:val="24"/>
          <w:lang w:val="en-US"/>
        </w:rPr>
        <w:t xml:space="preserve"> </w:t>
      </w:r>
      <w:r w:rsidR="00EA6DFC">
        <w:rPr>
          <w:sz w:val="24"/>
          <w:szCs w:val="24"/>
          <w:lang w:val="en-US"/>
        </w:rPr>
        <w:t xml:space="preserve"> The application succeeded. </w:t>
      </w:r>
      <w:r w:rsidR="000A1F7A">
        <w:rPr>
          <w:sz w:val="24"/>
          <w:szCs w:val="24"/>
          <w:lang w:val="en-US"/>
        </w:rPr>
        <w:t xml:space="preserve"> The reserved judgment </w:t>
      </w:r>
      <w:r w:rsidR="00B906AF">
        <w:rPr>
          <w:sz w:val="24"/>
          <w:szCs w:val="24"/>
          <w:lang w:val="en-US"/>
        </w:rPr>
        <w:t>of HH Judge Hodge KC is noticeable in several respects.</w:t>
      </w:r>
    </w:p>
    <w:p w14:paraId="396333C6" w14:textId="77777777" w:rsidR="006C1469" w:rsidRDefault="00B906AF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Firstly, the Judge re</w:t>
      </w:r>
      <w:r w:rsidR="006312AC">
        <w:rPr>
          <w:sz w:val="24"/>
          <w:szCs w:val="24"/>
          <w:lang w:val="en-US"/>
        </w:rPr>
        <w:t xml:space="preserve">-affirmed the rule that </w:t>
      </w:r>
      <w:r w:rsidR="00BD45B9">
        <w:rPr>
          <w:sz w:val="24"/>
          <w:szCs w:val="24"/>
          <w:lang w:val="en-US"/>
        </w:rPr>
        <w:t xml:space="preserve">a vesting order would only be made where the applicant could show a proprietary </w:t>
      </w:r>
      <w:r w:rsidR="00525A44">
        <w:rPr>
          <w:sz w:val="24"/>
          <w:szCs w:val="24"/>
          <w:lang w:val="en-US"/>
        </w:rPr>
        <w:t xml:space="preserve">interest binding upon the company at the date of </w:t>
      </w:r>
      <w:r w:rsidR="00544D88">
        <w:rPr>
          <w:sz w:val="24"/>
          <w:szCs w:val="24"/>
          <w:lang w:val="en-US"/>
        </w:rPr>
        <w:t xml:space="preserve">dissolution. In particular the </w:t>
      </w:r>
      <w:r w:rsidR="0097793D">
        <w:rPr>
          <w:sz w:val="24"/>
          <w:szCs w:val="24"/>
          <w:lang w:val="en-US"/>
        </w:rPr>
        <w:t xml:space="preserve">Judge followed the leading judgment of Harman J in </w:t>
      </w:r>
      <w:r w:rsidR="0097793D">
        <w:rPr>
          <w:i/>
          <w:iCs/>
          <w:sz w:val="24"/>
          <w:szCs w:val="24"/>
          <w:lang w:val="en-US"/>
        </w:rPr>
        <w:t xml:space="preserve">Re </w:t>
      </w:r>
      <w:r w:rsidR="0097793D">
        <w:rPr>
          <w:i/>
          <w:iCs/>
          <w:sz w:val="24"/>
          <w:szCs w:val="24"/>
          <w:lang w:val="en-US"/>
        </w:rPr>
        <w:lastRenderedPageBreak/>
        <w:t>Strath</w:t>
      </w:r>
      <w:r w:rsidR="00EF7AC3">
        <w:rPr>
          <w:i/>
          <w:iCs/>
          <w:sz w:val="24"/>
          <w:szCs w:val="24"/>
          <w:lang w:val="en-US"/>
        </w:rPr>
        <w:t xml:space="preserve">blaine Estates Ltd [1948] Ch 229, at </w:t>
      </w:r>
      <w:r w:rsidR="006B5820">
        <w:rPr>
          <w:i/>
          <w:iCs/>
          <w:sz w:val="24"/>
          <w:szCs w:val="24"/>
          <w:lang w:val="en-US"/>
        </w:rPr>
        <w:t>230</w:t>
      </w:r>
      <w:r w:rsidR="007508D2">
        <w:rPr>
          <w:i/>
          <w:iCs/>
          <w:sz w:val="24"/>
          <w:szCs w:val="24"/>
          <w:lang w:val="en-US"/>
        </w:rPr>
        <w:t xml:space="preserve"> </w:t>
      </w:r>
      <w:r w:rsidR="007508D2">
        <w:rPr>
          <w:sz w:val="24"/>
          <w:szCs w:val="24"/>
          <w:lang w:val="en-US"/>
        </w:rPr>
        <w:t xml:space="preserve">and the decision of the High Court of the Republic of Ireland </w:t>
      </w:r>
      <w:r w:rsidR="004117E7">
        <w:rPr>
          <w:sz w:val="24"/>
          <w:szCs w:val="24"/>
          <w:lang w:val="en-US"/>
        </w:rPr>
        <w:t xml:space="preserve">in </w:t>
      </w:r>
      <w:r w:rsidR="004117E7">
        <w:rPr>
          <w:i/>
          <w:iCs/>
          <w:sz w:val="24"/>
          <w:szCs w:val="24"/>
          <w:lang w:val="en-US"/>
        </w:rPr>
        <w:t xml:space="preserve">Clariant AG and </w:t>
      </w:r>
      <w:r w:rsidR="00FB6B51">
        <w:rPr>
          <w:i/>
          <w:iCs/>
          <w:sz w:val="24"/>
          <w:szCs w:val="24"/>
          <w:lang w:val="en-US"/>
        </w:rPr>
        <w:t xml:space="preserve">Clariant Plastics &amp; Coatings (Ireland) Ltd [2020] IEHC 211 at </w:t>
      </w:r>
      <w:r w:rsidR="003E35F0">
        <w:rPr>
          <w:i/>
          <w:iCs/>
          <w:sz w:val="24"/>
          <w:szCs w:val="24"/>
          <w:lang w:val="en-US"/>
        </w:rPr>
        <w:t>para 7</w:t>
      </w:r>
      <w:r w:rsidR="003E35F0">
        <w:rPr>
          <w:sz w:val="24"/>
          <w:szCs w:val="24"/>
          <w:lang w:val="en-US"/>
        </w:rPr>
        <w:t xml:space="preserve"> and endorsed the modern restatement of the rule </w:t>
      </w:r>
      <w:r w:rsidR="0000294C">
        <w:rPr>
          <w:sz w:val="24"/>
          <w:szCs w:val="24"/>
          <w:lang w:val="en-US"/>
        </w:rPr>
        <w:t xml:space="preserve">in the decision of Master Clark in </w:t>
      </w:r>
      <w:r w:rsidR="0000294C">
        <w:rPr>
          <w:i/>
          <w:iCs/>
          <w:sz w:val="24"/>
          <w:szCs w:val="24"/>
          <w:lang w:val="en-US"/>
        </w:rPr>
        <w:t>Lizzium  Ltd v Crown Estate Commissioners [</w:t>
      </w:r>
      <w:r w:rsidR="00F1775C">
        <w:rPr>
          <w:i/>
          <w:iCs/>
          <w:sz w:val="24"/>
          <w:szCs w:val="24"/>
          <w:lang w:val="en-US"/>
        </w:rPr>
        <w:t>2021] EWHC 941 (Ch)</w:t>
      </w:r>
      <w:r w:rsidR="00F1775C">
        <w:rPr>
          <w:sz w:val="24"/>
          <w:szCs w:val="24"/>
          <w:lang w:val="en-US"/>
        </w:rPr>
        <w:t xml:space="preserve">. </w:t>
      </w:r>
    </w:p>
    <w:p w14:paraId="11523F36" w14:textId="6858CF01" w:rsidR="0042794A" w:rsidRDefault="006C1469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Secondly, the Judge accepted that </w:t>
      </w:r>
      <w:r w:rsidR="00BF5F01">
        <w:rPr>
          <w:sz w:val="24"/>
          <w:szCs w:val="24"/>
          <w:lang w:val="en-US"/>
        </w:rPr>
        <w:t xml:space="preserve">such a proprietary interest could </w:t>
      </w:r>
      <w:r w:rsidR="00FA0141">
        <w:rPr>
          <w:sz w:val="24"/>
          <w:szCs w:val="24"/>
          <w:lang w:val="en-US"/>
        </w:rPr>
        <w:t>consist of a claim in proprietary estoppel</w:t>
      </w:r>
      <w:r w:rsidR="009010DA">
        <w:rPr>
          <w:sz w:val="24"/>
          <w:szCs w:val="24"/>
          <w:lang w:val="en-US"/>
        </w:rPr>
        <w:t xml:space="preserve"> binding upon the company, which he found to exist.  At the date of the dissolution the shareholders and the company both believed that the </w:t>
      </w:r>
      <w:r w:rsidR="008F0D08">
        <w:rPr>
          <w:sz w:val="24"/>
          <w:szCs w:val="24"/>
          <w:lang w:val="en-US"/>
        </w:rPr>
        <w:t xml:space="preserve">properties had been transferred to the shareholders, the shareholders had paid </w:t>
      </w:r>
      <w:r w:rsidR="00986978">
        <w:rPr>
          <w:sz w:val="24"/>
          <w:szCs w:val="24"/>
          <w:lang w:val="en-US"/>
        </w:rPr>
        <w:t>tax on</w:t>
      </w:r>
      <w:r w:rsidR="008F0D08">
        <w:rPr>
          <w:sz w:val="24"/>
          <w:szCs w:val="24"/>
          <w:lang w:val="en-US"/>
        </w:rPr>
        <w:t xml:space="preserve"> such basis and </w:t>
      </w:r>
      <w:r w:rsidR="00632B15">
        <w:rPr>
          <w:sz w:val="24"/>
          <w:szCs w:val="24"/>
          <w:lang w:val="en-US"/>
        </w:rPr>
        <w:t>the shareholders had deliberate</w:t>
      </w:r>
      <w:r w:rsidR="000D7659">
        <w:rPr>
          <w:sz w:val="24"/>
          <w:szCs w:val="24"/>
          <w:lang w:val="en-US"/>
        </w:rPr>
        <w:t xml:space="preserve">ly allowed the company to be dissolved in the belief that it had no assets. </w:t>
      </w:r>
      <w:r w:rsidR="008A1678">
        <w:rPr>
          <w:sz w:val="24"/>
          <w:szCs w:val="24"/>
          <w:lang w:val="en-US"/>
        </w:rPr>
        <w:t xml:space="preserve">  It was no bar to a proprietary estoppel</w:t>
      </w:r>
      <w:r w:rsidR="003F7E1D">
        <w:rPr>
          <w:sz w:val="24"/>
          <w:szCs w:val="24"/>
          <w:lang w:val="en-US"/>
        </w:rPr>
        <w:t xml:space="preserve"> that both the company and the shareholders shared the same mistaken belief (</w:t>
      </w:r>
      <w:r w:rsidR="00636F38">
        <w:rPr>
          <w:i/>
          <w:iCs/>
          <w:sz w:val="24"/>
          <w:szCs w:val="24"/>
          <w:lang w:val="en-US"/>
        </w:rPr>
        <w:t>Re Eaves [1940] Ch 109, at 11</w:t>
      </w:r>
      <w:r w:rsidR="00400E88">
        <w:rPr>
          <w:i/>
          <w:iCs/>
          <w:sz w:val="24"/>
          <w:szCs w:val="24"/>
          <w:lang w:val="en-US"/>
        </w:rPr>
        <w:t xml:space="preserve">7-8; </w:t>
      </w:r>
      <w:r w:rsidR="00587DDC">
        <w:rPr>
          <w:i/>
          <w:iCs/>
          <w:sz w:val="24"/>
          <w:szCs w:val="24"/>
          <w:lang w:val="en-US"/>
        </w:rPr>
        <w:t xml:space="preserve">Taylors Fashions Ltd v Liverpool Victoria Trustees Co. Ltd </w:t>
      </w:r>
      <w:r w:rsidR="0060237C">
        <w:rPr>
          <w:i/>
          <w:iCs/>
          <w:sz w:val="24"/>
          <w:szCs w:val="24"/>
          <w:lang w:val="en-US"/>
        </w:rPr>
        <w:t>(1979) [1982] QB 133n</w:t>
      </w:r>
      <w:r w:rsidR="0060237C">
        <w:rPr>
          <w:sz w:val="24"/>
          <w:szCs w:val="24"/>
          <w:lang w:val="en-US"/>
        </w:rPr>
        <w:t xml:space="preserve">).  While the Judge quoted extensively from judgments in the Supreme Court in </w:t>
      </w:r>
      <w:r w:rsidR="0060237C">
        <w:rPr>
          <w:i/>
          <w:iCs/>
          <w:sz w:val="24"/>
          <w:szCs w:val="24"/>
          <w:lang w:val="en-US"/>
        </w:rPr>
        <w:t>Guest v Guest</w:t>
      </w:r>
      <w:r w:rsidR="003A2C83">
        <w:rPr>
          <w:i/>
          <w:iCs/>
          <w:sz w:val="24"/>
          <w:szCs w:val="24"/>
          <w:lang w:val="en-US"/>
        </w:rPr>
        <w:t xml:space="preserve"> [2022] UKSC 27; [2022] 3 WLR 911</w:t>
      </w:r>
      <w:r w:rsidR="00227E5F">
        <w:rPr>
          <w:sz w:val="24"/>
          <w:szCs w:val="24"/>
          <w:lang w:val="en-US"/>
        </w:rPr>
        <w:t xml:space="preserve">, the issue </w:t>
      </w:r>
      <w:r w:rsidR="00986978">
        <w:rPr>
          <w:sz w:val="24"/>
          <w:szCs w:val="24"/>
          <w:lang w:val="en-US"/>
        </w:rPr>
        <w:t>of whether</w:t>
      </w:r>
      <w:r w:rsidR="00227E5F">
        <w:rPr>
          <w:sz w:val="24"/>
          <w:szCs w:val="24"/>
          <w:lang w:val="en-US"/>
        </w:rPr>
        <w:t xml:space="preserve"> to satisfy the detrimental or expectation interest did not arise, since </w:t>
      </w:r>
      <w:r w:rsidR="0042794A">
        <w:rPr>
          <w:sz w:val="24"/>
          <w:szCs w:val="24"/>
          <w:lang w:val="en-US"/>
        </w:rPr>
        <w:t>the two measures gave the same result.</w:t>
      </w:r>
    </w:p>
    <w:p w14:paraId="7B86554D" w14:textId="3DDBC402" w:rsidR="00B906AF" w:rsidRDefault="0042794A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Thirdly, </w:t>
      </w:r>
      <w:r w:rsidR="00752719">
        <w:rPr>
          <w:sz w:val="24"/>
          <w:szCs w:val="24"/>
          <w:lang w:val="en-US"/>
        </w:rPr>
        <w:t xml:space="preserve">the Judge was prepared </w:t>
      </w:r>
      <w:r w:rsidR="00986978">
        <w:rPr>
          <w:sz w:val="24"/>
          <w:szCs w:val="24"/>
          <w:lang w:val="en-US"/>
        </w:rPr>
        <w:t>to make</w:t>
      </w:r>
      <w:r w:rsidR="00752719">
        <w:rPr>
          <w:sz w:val="24"/>
          <w:szCs w:val="24"/>
          <w:lang w:val="en-US"/>
        </w:rPr>
        <w:t xml:space="preserve"> vesting orders under </w:t>
      </w:r>
      <w:r w:rsidR="00856BD8">
        <w:rPr>
          <w:sz w:val="24"/>
          <w:szCs w:val="24"/>
          <w:lang w:val="en-US"/>
        </w:rPr>
        <w:t>both s</w:t>
      </w:r>
      <w:r w:rsidR="00752719">
        <w:rPr>
          <w:i/>
          <w:iCs/>
          <w:sz w:val="24"/>
          <w:szCs w:val="24"/>
          <w:lang w:val="en-US"/>
        </w:rPr>
        <w:t xml:space="preserve">181 Law of Property Act 1925 </w:t>
      </w:r>
      <w:r w:rsidR="00752719">
        <w:rPr>
          <w:sz w:val="24"/>
          <w:szCs w:val="24"/>
          <w:lang w:val="en-US"/>
        </w:rPr>
        <w:t xml:space="preserve">and </w:t>
      </w:r>
      <w:r w:rsidR="00752719">
        <w:rPr>
          <w:i/>
          <w:iCs/>
          <w:sz w:val="24"/>
          <w:szCs w:val="24"/>
          <w:lang w:val="en-US"/>
        </w:rPr>
        <w:t>s44(ii)(c) Trustee Act 1925</w:t>
      </w:r>
      <w:r w:rsidR="00966ED1">
        <w:rPr>
          <w:sz w:val="24"/>
          <w:szCs w:val="24"/>
          <w:lang w:val="en-US"/>
        </w:rPr>
        <w:t>.</w:t>
      </w:r>
      <w:r w:rsidR="00CE3118">
        <w:rPr>
          <w:sz w:val="24"/>
          <w:szCs w:val="24"/>
          <w:lang w:val="en-US"/>
        </w:rPr>
        <w:t xml:space="preserve"> In </w:t>
      </w:r>
      <w:r w:rsidR="00CE3118">
        <w:rPr>
          <w:i/>
          <w:iCs/>
          <w:sz w:val="24"/>
          <w:szCs w:val="24"/>
          <w:lang w:val="en-US"/>
        </w:rPr>
        <w:t>Dixon v Crown Estate</w:t>
      </w:r>
      <w:r w:rsidR="00CE3118">
        <w:rPr>
          <w:sz w:val="24"/>
          <w:szCs w:val="24"/>
          <w:lang w:val="en-US"/>
        </w:rPr>
        <w:t xml:space="preserve"> the </w:t>
      </w:r>
      <w:r w:rsidR="00A011F9">
        <w:rPr>
          <w:sz w:val="24"/>
          <w:szCs w:val="24"/>
          <w:lang w:val="en-US"/>
        </w:rPr>
        <w:t xml:space="preserve">Treasury </w:t>
      </w:r>
      <w:r w:rsidR="00986978">
        <w:rPr>
          <w:sz w:val="24"/>
          <w:szCs w:val="24"/>
          <w:lang w:val="en-US"/>
        </w:rPr>
        <w:t>Solicitor had</w:t>
      </w:r>
      <w:r w:rsidR="00A011F9">
        <w:rPr>
          <w:sz w:val="24"/>
          <w:szCs w:val="24"/>
          <w:lang w:val="en-US"/>
        </w:rPr>
        <w:t xml:space="preserve"> disclaimed the </w:t>
      </w:r>
      <w:r w:rsidR="00856BD8">
        <w:rPr>
          <w:sz w:val="24"/>
          <w:szCs w:val="24"/>
          <w:lang w:val="en-US"/>
        </w:rPr>
        <w:t>properties which had</w:t>
      </w:r>
      <w:r w:rsidR="00A011F9">
        <w:rPr>
          <w:sz w:val="24"/>
          <w:szCs w:val="24"/>
          <w:lang w:val="en-US"/>
        </w:rPr>
        <w:t xml:space="preserve"> pass</w:t>
      </w:r>
      <w:r w:rsidR="00090369">
        <w:rPr>
          <w:sz w:val="24"/>
          <w:szCs w:val="24"/>
          <w:lang w:val="en-US"/>
        </w:rPr>
        <w:t xml:space="preserve">ed to the Crown as bona </w:t>
      </w:r>
      <w:r w:rsidR="00856BD8">
        <w:rPr>
          <w:sz w:val="24"/>
          <w:szCs w:val="24"/>
          <w:lang w:val="en-US"/>
        </w:rPr>
        <w:t>vacantia and</w:t>
      </w:r>
      <w:r w:rsidR="00090369">
        <w:rPr>
          <w:sz w:val="24"/>
          <w:szCs w:val="24"/>
          <w:lang w:val="en-US"/>
        </w:rPr>
        <w:t xml:space="preserve"> hence the</w:t>
      </w:r>
      <w:r w:rsidR="00C4041C">
        <w:rPr>
          <w:sz w:val="24"/>
          <w:szCs w:val="24"/>
          <w:lang w:val="en-US"/>
        </w:rPr>
        <w:t xml:space="preserve">re had been an escheat and the original legal </w:t>
      </w:r>
      <w:r w:rsidR="00856BD8">
        <w:rPr>
          <w:sz w:val="24"/>
          <w:szCs w:val="24"/>
          <w:lang w:val="en-US"/>
        </w:rPr>
        <w:t>estate had</w:t>
      </w:r>
      <w:r w:rsidR="00C4041C">
        <w:rPr>
          <w:sz w:val="24"/>
          <w:szCs w:val="24"/>
          <w:lang w:val="en-US"/>
        </w:rPr>
        <w:t xml:space="preserve"> determined.</w:t>
      </w:r>
      <w:r w:rsidR="00966ED1">
        <w:rPr>
          <w:sz w:val="24"/>
          <w:szCs w:val="24"/>
          <w:lang w:val="en-US"/>
        </w:rPr>
        <w:t xml:space="preserve"> In making the order under </w:t>
      </w:r>
      <w:r w:rsidR="00966ED1">
        <w:rPr>
          <w:i/>
          <w:iCs/>
          <w:sz w:val="24"/>
          <w:szCs w:val="24"/>
          <w:lang w:val="en-US"/>
        </w:rPr>
        <w:t xml:space="preserve">s181 Law of Property Act </w:t>
      </w:r>
      <w:r w:rsidR="00986978">
        <w:rPr>
          <w:i/>
          <w:iCs/>
          <w:sz w:val="24"/>
          <w:szCs w:val="24"/>
          <w:lang w:val="en-US"/>
        </w:rPr>
        <w:t xml:space="preserve">1925 </w:t>
      </w:r>
      <w:r w:rsidR="00986978">
        <w:rPr>
          <w:sz w:val="24"/>
          <w:szCs w:val="24"/>
          <w:lang w:val="en-US"/>
        </w:rPr>
        <w:t>the</w:t>
      </w:r>
      <w:r w:rsidR="00966ED1">
        <w:rPr>
          <w:sz w:val="24"/>
          <w:szCs w:val="24"/>
          <w:lang w:val="en-US"/>
        </w:rPr>
        <w:t xml:space="preserve"> Judge did not follow the judgment of Harman J in </w:t>
      </w:r>
      <w:r w:rsidR="00966ED1">
        <w:rPr>
          <w:i/>
          <w:iCs/>
          <w:sz w:val="24"/>
          <w:szCs w:val="24"/>
          <w:lang w:val="en-US"/>
        </w:rPr>
        <w:t>Re Strathblaine Estates Ltd [1948] Ch 229, at 230</w:t>
      </w:r>
      <w:r w:rsidR="007E0CC6">
        <w:rPr>
          <w:i/>
          <w:iCs/>
          <w:sz w:val="24"/>
          <w:szCs w:val="24"/>
          <w:lang w:val="en-US"/>
        </w:rPr>
        <w:t>-1</w:t>
      </w:r>
      <w:r w:rsidR="00DE6CA8">
        <w:rPr>
          <w:i/>
          <w:iCs/>
          <w:sz w:val="24"/>
          <w:szCs w:val="24"/>
          <w:lang w:val="en-US"/>
        </w:rPr>
        <w:t xml:space="preserve"> </w:t>
      </w:r>
      <w:r w:rsidR="00DE6CA8">
        <w:rPr>
          <w:sz w:val="24"/>
          <w:szCs w:val="24"/>
          <w:lang w:val="en-US"/>
        </w:rPr>
        <w:t>who held that this provision only applied</w:t>
      </w:r>
      <w:r w:rsidR="00574B0D">
        <w:rPr>
          <w:sz w:val="24"/>
          <w:szCs w:val="24"/>
          <w:lang w:val="en-US"/>
        </w:rPr>
        <w:t xml:space="preserve"> to the very few cases where dissolution caused a company’s land to revert to the grantor</w:t>
      </w:r>
      <w:r w:rsidR="00DE1581">
        <w:rPr>
          <w:sz w:val="24"/>
          <w:szCs w:val="24"/>
          <w:lang w:val="en-US"/>
        </w:rPr>
        <w:t xml:space="preserve">. </w:t>
      </w:r>
      <w:r w:rsidR="00856BD8">
        <w:rPr>
          <w:sz w:val="24"/>
          <w:szCs w:val="24"/>
          <w:lang w:val="en-US"/>
        </w:rPr>
        <w:t>Instead,</w:t>
      </w:r>
      <w:r w:rsidR="00DE1581">
        <w:rPr>
          <w:sz w:val="24"/>
          <w:szCs w:val="24"/>
          <w:lang w:val="en-US"/>
        </w:rPr>
        <w:t xml:space="preserve"> the Judge followed the decision of Roth J in </w:t>
      </w:r>
      <w:r w:rsidR="00DE1581">
        <w:rPr>
          <w:i/>
          <w:iCs/>
          <w:sz w:val="24"/>
          <w:szCs w:val="24"/>
          <w:lang w:val="en-US"/>
        </w:rPr>
        <w:t xml:space="preserve">UBS Global Asset </w:t>
      </w:r>
      <w:r w:rsidR="00986978">
        <w:rPr>
          <w:i/>
          <w:iCs/>
          <w:sz w:val="24"/>
          <w:szCs w:val="24"/>
          <w:lang w:val="en-US"/>
        </w:rPr>
        <w:t>Management (</w:t>
      </w:r>
      <w:r w:rsidR="00DE1581">
        <w:rPr>
          <w:i/>
          <w:iCs/>
          <w:sz w:val="24"/>
          <w:szCs w:val="24"/>
          <w:lang w:val="en-US"/>
        </w:rPr>
        <w:t xml:space="preserve">UK) Ltd v Crown Estate </w:t>
      </w:r>
      <w:r w:rsidR="00346137">
        <w:rPr>
          <w:i/>
          <w:iCs/>
          <w:sz w:val="24"/>
          <w:szCs w:val="24"/>
          <w:lang w:val="en-US"/>
        </w:rPr>
        <w:t>[2011] EWHC 3368 (Ch)</w:t>
      </w:r>
      <w:r w:rsidR="00346137">
        <w:rPr>
          <w:sz w:val="24"/>
          <w:szCs w:val="24"/>
          <w:lang w:val="en-US"/>
        </w:rPr>
        <w:t xml:space="preserve"> where </w:t>
      </w:r>
      <w:r w:rsidR="00402A26">
        <w:rPr>
          <w:sz w:val="24"/>
          <w:szCs w:val="24"/>
          <w:lang w:val="en-US"/>
        </w:rPr>
        <w:t xml:space="preserve">an order was made under </w:t>
      </w:r>
      <w:r w:rsidR="00402A26">
        <w:rPr>
          <w:i/>
          <w:iCs/>
          <w:sz w:val="24"/>
          <w:szCs w:val="24"/>
          <w:lang w:val="en-US"/>
        </w:rPr>
        <w:t>s181</w:t>
      </w:r>
      <w:r w:rsidR="00402A26">
        <w:rPr>
          <w:sz w:val="24"/>
          <w:szCs w:val="24"/>
          <w:lang w:val="en-US"/>
        </w:rPr>
        <w:t xml:space="preserve"> (</w:t>
      </w:r>
      <w:r w:rsidR="00856BD8">
        <w:rPr>
          <w:sz w:val="24"/>
          <w:szCs w:val="24"/>
          <w:lang w:val="en-US"/>
        </w:rPr>
        <w:t>although Re</w:t>
      </w:r>
      <w:r w:rsidR="00402A26">
        <w:rPr>
          <w:i/>
          <w:iCs/>
          <w:sz w:val="24"/>
          <w:szCs w:val="24"/>
          <w:lang w:val="en-US"/>
        </w:rPr>
        <w:t xml:space="preserve"> Strathblaine Estates Ltd</w:t>
      </w:r>
      <w:r w:rsidR="00402A26">
        <w:rPr>
          <w:sz w:val="24"/>
          <w:szCs w:val="24"/>
          <w:lang w:val="en-US"/>
        </w:rPr>
        <w:t xml:space="preserve"> was not referred to in th</w:t>
      </w:r>
      <w:r w:rsidR="0079799E">
        <w:rPr>
          <w:sz w:val="24"/>
          <w:szCs w:val="24"/>
          <w:lang w:val="en-US"/>
        </w:rPr>
        <w:t>at</w:t>
      </w:r>
      <w:r w:rsidR="00402A26">
        <w:rPr>
          <w:sz w:val="24"/>
          <w:szCs w:val="24"/>
          <w:lang w:val="en-US"/>
        </w:rPr>
        <w:t xml:space="preserve"> judgment). </w:t>
      </w:r>
      <w:r w:rsidR="00E855AA">
        <w:rPr>
          <w:sz w:val="24"/>
          <w:szCs w:val="24"/>
          <w:lang w:val="en-US"/>
        </w:rPr>
        <w:t xml:space="preserve"> To give </w:t>
      </w:r>
      <w:r w:rsidR="00E855AA">
        <w:rPr>
          <w:i/>
          <w:iCs/>
          <w:sz w:val="24"/>
          <w:szCs w:val="24"/>
          <w:lang w:val="en-US"/>
        </w:rPr>
        <w:t>s181 Law of Property Act 1925</w:t>
      </w:r>
      <w:r w:rsidR="00E855AA">
        <w:rPr>
          <w:sz w:val="24"/>
          <w:szCs w:val="24"/>
          <w:lang w:val="en-US"/>
        </w:rPr>
        <w:t xml:space="preserve"> </w:t>
      </w:r>
      <w:r w:rsidR="00BB391C">
        <w:rPr>
          <w:sz w:val="24"/>
          <w:szCs w:val="24"/>
          <w:lang w:val="en-US"/>
        </w:rPr>
        <w:t>a wider</w:t>
      </w:r>
      <w:r w:rsidR="00C4041C">
        <w:rPr>
          <w:sz w:val="24"/>
          <w:szCs w:val="24"/>
          <w:lang w:val="en-US"/>
        </w:rPr>
        <w:t xml:space="preserve"> and entirely literal</w:t>
      </w:r>
      <w:r w:rsidR="00BB391C">
        <w:rPr>
          <w:sz w:val="24"/>
          <w:szCs w:val="24"/>
          <w:lang w:val="en-US"/>
        </w:rPr>
        <w:t xml:space="preserve"> effect is to be welcomed </w:t>
      </w:r>
      <w:r w:rsidR="00986978">
        <w:rPr>
          <w:sz w:val="24"/>
          <w:szCs w:val="24"/>
          <w:lang w:val="en-US"/>
        </w:rPr>
        <w:t>since as</w:t>
      </w:r>
      <w:r w:rsidR="00BB391C">
        <w:rPr>
          <w:sz w:val="24"/>
          <w:szCs w:val="24"/>
          <w:lang w:val="en-US"/>
        </w:rPr>
        <w:t xml:space="preserve"> Roth J pointed out</w:t>
      </w:r>
      <w:r w:rsidR="00EF3C16">
        <w:rPr>
          <w:sz w:val="24"/>
          <w:szCs w:val="24"/>
          <w:lang w:val="en-US"/>
        </w:rPr>
        <w:t>,</w:t>
      </w:r>
      <w:r w:rsidR="00BB391C">
        <w:rPr>
          <w:sz w:val="24"/>
          <w:szCs w:val="24"/>
          <w:lang w:val="en-US"/>
        </w:rPr>
        <w:t xml:space="preserve"> </w:t>
      </w:r>
      <w:r w:rsidR="00EF3C16">
        <w:rPr>
          <w:i/>
          <w:iCs/>
          <w:sz w:val="24"/>
          <w:szCs w:val="24"/>
          <w:lang w:val="en-US"/>
        </w:rPr>
        <w:t xml:space="preserve">s44(ii)(c) Trustee Act </w:t>
      </w:r>
      <w:r w:rsidR="00856BD8">
        <w:rPr>
          <w:i/>
          <w:iCs/>
          <w:sz w:val="24"/>
          <w:szCs w:val="24"/>
          <w:lang w:val="en-US"/>
        </w:rPr>
        <w:t xml:space="preserve">1925 </w:t>
      </w:r>
      <w:r w:rsidR="00856BD8">
        <w:rPr>
          <w:sz w:val="24"/>
          <w:szCs w:val="24"/>
          <w:lang w:val="en-US"/>
        </w:rPr>
        <w:t>is</w:t>
      </w:r>
      <w:r w:rsidR="00EF3C16">
        <w:rPr>
          <w:sz w:val="24"/>
          <w:szCs w:val="24"/>
          <w:lang w:val="en-US"/>
        </w:rPr>
        <w:t xml:space="preserve"> not applicable in a</w:t>
      </w:r>
      <w:r w:rsidR="00E8432B">
        <w:rPr>
          <w:sz w:val="24"/>
          <w:szCs w:val="24"/>
          <w:lang w:val="en-US"/>
        </w:rPr>
        <w:t>ll cases.</w:t>
      </w:r>
    </w:p>
    <w:p w14:paraId="2EDFCCC3" w14:textId="7AA28206" w:rsidR="00E8432B" w:rsidRDefault="00961A96" w:rsidP="004E2AC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While </w:t>
      </w:r>
      <w:r w:rsidR="00BC3848">
        <w:rPr>
          <w:sz w:val="24"/>
          <w:szCs w:val="24"/>
          <w:lang w:val="en-US"/>
        </w:rPr>
        <w:t xml:space="preserve">running a case on proprietary estoppel will be a way of getting property away from the Crown </w:t>
      </w:r>
      <w:r w:rsidR="00E243AA">
        <w:rPr>
          <w:sz w:val="24"/>
          <w:szCs w:val="24"/>
          <w:lang w:val="en-US"/>
        </w:rPr>
        <w:t xml:space="preserve">(or a Royal Duchy) in many cases, it is not applicable in all cases.  An argument based on proprietary estoppel </w:t>
      </w:r>
      <w:r w:rsidR="00221B00">
        <w:rPr>
          <w:sz w:val="24"/>
          <w:szCs w:val="24"/>
          <w:lang w:val="en-US"/>
        </w:rPr>
        <w:t xml:space="preserve">is only available where there is a belief or representation that an asset is not vested in the company and is not </w:t>
      </w:r>
      <w:r w:rsidR="00986978">
        <w:rPr>
          <w:sz w:val="24"/>
          <w:szCs w:val="24"/>
          <w:lang w:val="en-US"/>
        </w:rPr>
        <w:t>available where</w:t>
      </w:r>
      <w:r w:rsidR="00221B00">
        <w:rPr>
          <w:sz w:val="24"/>
          <w:szCs w:val="24"/>
          <w:lang w:val="en-US"/>
        </w:rPr>
        <w:t xml:space="preserve"> </w:t>
      </w:r>
      <w:r w:rsidR="00856BD8">
        <w:rPr>
          <w:sz w:val="24"/>
          <w:szCs w:val="24"/>
          <w:lang w:val="en-US"/>
        </w:rPr>
        <w:t>the shareholder</w:t>
      </w:r>
      <w:r w:rsidR="00221B00">
        <w:rPr>
          <w:sz w:val="24"/>
          <w:szCs w:val="24"/>
          <w:lang w:val="en-US"/>
        </w:rPr>
        <w:t xml:space="preserve"> or other </w:t>
      </w:r>
      <w:r w:rsidR="00221B00">
        <w:rPr>
          <w:sz w:val="24"/>
          <w:szCs w:val="24"/>
          <w:lang w:val="en-US"/>
        </w:rPr>
        <w:lastRenderedPageBreak/>
        <w:t xml:space="preserve">claimant </w:t>
      </w:r>
      <w:r w:rsidR="009B6103">
        <w:rPr>
          <w:sz w:val="24"/>
          <w:szCs w:val="24"/>
          <w:lang w:val="en-US"/>
        </w:rPr>
        <w:t xml:space="preserve">simply does not direct their minds to the question of ownership.   Further, it must be possible for the company to have </w:t>
      </w:r>
      <w:r w:rsidR="0015511A">
        <w:rPr>
          <w:sz w:val="24"/>
          <w:szCs w:val="24"/>
          <w:lang w:val="en-US"/>
        </w:rPr>
        <w:t xml:space="preserve">legally passed the property to the shareholder. There are only a limited number of ways in which a company can </w:t>
      </w:r>
      <w:r w:rsidR="00986978">
        <w:rPr>
          <w:sz w:val="24"/>
          <w:szCs w:val="24"/>
          <w:lang w:val="en-US"/>
        </w:rPr>
        <w:t xml:space="preserve">return </w:t>
      </w:r>
      <w:r w:rsidR="00856BD8">
        <w:rPr>
          <w:sz w:val="24"/>
          <w:szCs w:val="24"/>
          <w:lang w:val="en-US"/>
        </w:rPr>
        <w:t>capital to</w:t>
      </w:r>
      <w:r w:rsidR="006F3D6F">
        <w:rPr>
          <w:sz w:val="24"/>
          <w:szCs w:val="24"/>
          <w:lang w:val="en-US"/>
        </w:rPr>
        <w:t xml:space="preserve"> </w:t>
      </w:r>
      <w:r w:rsidR="00856BD8">
        <w:rPr>
          <w:sz w:val="24"/>
          <w:szCs w:val="24"/>
          <w:lang w:val="en-US"/>
        </w:rPr>
        <w:t>shareholders, and</w:t>
      </w:r>
      <w:r w:rsidR="006F3D6F">
        <w:rPr>
          <w:sz w:val="24"/>
          <w:szCs w:val="24"/>
          <w:lang w:val="en-US"/>
        </w:rPr>
        <w:t xml:space="preserve"> none were applicable in </w:t>
      </w:r>
      <w:r w:rsidR="006F3D6F">
        <w:rPr>
          <w:i/>
          <w:iCs/>
          <w:sz w:val="24"/>
          <w:szCs w:val="24"/>
          <w:lang w:val="en-US"/>
        </w:rPr>
        <w:t>Dixon v Crown Estate</w:t>
      </w:r>
      <w:r w:rsidR="006F3D6F">
        <w:rPr>
          <w:sz w:val="24"/>
          <w:szCs w:val="24"/>
          <w:lang w:val="en-US"/>
        </w:rPr>
        <w:t xml:space="preserve">. However, in </w:t>
      </w:r>
      <w:r w:rsidR="006F3D6F">
        <w:rPr>
          <w:i/>
          <w:iCs/>
          <w:sz w:val="24"/>
          <w:szCs w:val="24"/>
          <w:lang w:val="en-US"/>
        </w:rPr>
        <w:t>Dixon v Crown Estate</w:t>
      </w:r>
      <w:r w:rsidR="006F3D6F">
        <w:rPr>
          <w:sz w:val="24"/>
          <w:szCs w:val="24"/>
          <w:lang w:val="en-US"/>
        </w:rPr>
        <w:t xml:space="preserve"> the </w:t>
      </w:r>
      <w:r w:rsidR="00986978">
        <w:rPr>
          <w:sz w:val="24"/>
          <w:szCs w:val="24"/>
          <w:lang w:val="en-US"/>
        </w:rPr>
        <w:t>company had</w:t>
      </w:r>
      <w:r w:rsidR="006F3D6F">
        <w:rPr>
          <w:sz w:val="24"/>
          <w:szCs w:val="24"/>
          <w:lang w:val="en-US"/>
        </w:rPr>
        <w:t xml:space="preserve"> ample “distributable profits” and could have made a dividend in specie. There were no other legal im</w:t>
      </w:r>
      <w:r w:rsidR="009054A2">
        <w:rPr>
          <w:sz w:val="24"/>
          <w:szCs w:val="24"/>
          <w:lang w:val="en-US"/>
        </w:rPr>
        <w:t xml:space="preserve">pediments to </w:t>
      </w:r>
      <w:r w:rsidR="00E83A5C">
        <w:rPr>
          <w:sz w:val="24"/>
          <w:szCs w:val="24"/>
          <w:lang w:val="en-US"/>
        </w:rPr>
        <w:t xml:space="preserve">such a dividend.  The courts will not allow a claim based upon proprietary estoppel to succeed where there was conscious impropriety, but the </w:t>
      </w:r>
      <w:r w:rsidR="00856BD8">
        <w:rPr>
          <w:sz w:val="24"/>
          <w:szCs w:val="24"/>
          <w:lang w:val="en-US"/>
        </w:rPr>
        <w:t>parties</w:t>
      </w:r>
      <w:r w:rsidR="00E83A5C">
        <w:rPr>
          <w:sz w:val="24"/>
          <w:szCs w:val="24"/>
          <w:lang w:val="en-US"/>
        </w:rPr>
        <w:t xml:space="preserve"> in </w:t>
      </w:r>
      <w:r w:rsidR="00E83A5C">
        <w:rPr>
          <w:i/>
          <w:iCs/>
          <w:sz w:val="24"/>
          <w:szCs w:val="24"/>
          <w:lang w:val="en-US"/>
        </w:rPr>
        <w:t>Dixon</w:t>
      </w:r>
      <w:r w:rsidR="00E83A5C">
        <w:rPr>
          <w:sz w:val="24"/>
          <w:szCs w:val="24"/>
          <w:lang w:val="en-US"/>
        </w:rPr>
        <w:t xml:space="preserve"> were in good faith.</w:t>
      </w:r>
    </w:p>
    <w:p w14:paraId="62685B49" w14:textId="77777777" w:rsidR="00E83A5C" w:rsidRDefault="00E83A5C" w:rsidP="004E2AC2">
      <w:pPr>
        <w:spacing w:line="360" w:lineRule="auto"/>
        <w:jc w:val="both"/>
        <w:rPr>
          <w:sz w:val="24"/>
          <w:szCs w:val="24"/>
          <w:lang w:val="en-US"/>
        </w:rPr>
      </w:pPr>
    </w:p>
    <w:p w14:paraId="3054DF06" w14:textId="09E1722F" w:rsidR="00E83A5C" w:rsidRPr="00E83A5C" w:rsidRDefault="00E83A5C" w:rsidP="004E2AC2">
      <w:pPr>
        <w:spacing w:line="360" w:lineRule="auto"/>
        <w:jc w:val="both"/>
        <w:rPr>
          <w:sz w:val="32"/>
          <w:szCs w:val="32"/>
          <w:lang w:val="en-US"/>
        </w:rPr>
      </w:pPr>
      <w:r w:rsidRPr="00E83A5C">
        <w:rPr>
          <w:sz w:val="32"/>
          <w:szCs w:val="32"/>
          <w:lang w:val="en-US"/>
        </w:rPr>
        <w:t xml:space="preserve">RICHARD OUGHTON was Counsel for the Applicants in </w:t>
      </w:r>
      <w:r w:rsidRPr="00E83A5C">
        <w:rPr>
          <w:i/>
          <w:iCs/>
          <w:sz w:val="32"/>
          <w:szCs w:val="32"/>
          <w:lang w:val="en-US"/>
        </w:rPr>
        <w:t>Dixon v Crown Estate Commissioners</w:t>
      </w:r>
      <w:r w:rsidRPr="00E83A5C">
        <w:rPr>
          <w:sz w:val="32"/>
          <w:szCs w:val="32"/>
          <w:lang w:val="en-US"/>
        </w:rPr>
        <w:t>.</w:t>
      </w:r>
    </w:p>
    <w:p w14:paraId="26EA59AD" w14:textId="2097D2FF" w:rsidR="006B0A9E" w:rsidRPr="0015296A" w:rsidRDefault="00B906AF" w:rsidP="00C4500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39366A">
        <w:rPr>
          <w:sz w:val="24"/>
          <w:szCs w:val="24"/>
          <w:lang w:val="en-US"/>
        </w:rPr>
        <w:t xml:space="preserve"> </w:t>
      </w:r>
    </w:p>
    <w:sectPr w:rsidR="006B0A9E" w:rsidRPr="0015296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C396" w14:textId="77777777" w:rsidR="00765ADD" w:rsidRDefault="00765ADD" w:rsidP="0031448A">
      <w:pPr>
        <w:spacing w:after="0" w:line="240" w:lineRule="auto"/>
      </w:pPr>
      <w:r>
        <w:separator/>
      </w:r>
    </w:p>
  </w:endnote>
  <w:endnote w:type="continuationSeparator" w:id="0">
    <w:p w14:paraId="3510CE24" w14:textId="77777777" w:rsidR="00765ADD" w:rsidRDefault="00765ADD" w:rsidP="0031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11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5141E" w14:textId="22A4F9C6" w:rsidR="0031448A" w:rsidRDefault="00314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3F3D8" w14:textId="77777777" w:rsidR="0031448A" w:rsidRDefault="0031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4353" w14:textId="77777777" w:rsidR="00765ADD" w:rsidRDefault="00765ADD" w:rsidP="0031448A">
      <w:pPr>
        <w:spacing w:after="0" w:line="240" w:lineRule="auto"/>
      </w:pPr>
      <w:r>
        <w:separator/>
      </w:r>
    </w:p>
  </w:footnote>
  <w:footnote w:type="continuationSeparator" w:id="0">
    <w:p w14:paraId="2BA70A39" w14:textId="77777777" w:rsidR="00765ADD" w:rsidRDefault="00765ADD" w:rsidP="0031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2"/>
    <w:rsid w:val="0000294C"/>
    <w:rsid w:val="00012203"/>
    <w:rsid w:val="00026254"/>
    <w:rsid w:val="00090369"/>
    <w:rsid w:val="000A1F7A"/>
    <w:rsid w:val="000D6E73"/>
    <w:rsid w:val="000D7659"/>
    <w:rsid w:val="0015296A"/>
    <w:rsid w:val="0015511A"/>
    <w:rsid w:val="00155C14"/>
    <w:rsid w:val="001A5420"/>
    <w:rsid w:val="00210496"/>
    <w:rsid w:val="00221B00"/>
    <w:rsid w:val="00227E5F"/>
    <w:rsid w:val="002F5C6A"/>
    <w:rsid w:val="0031395A"/>
    <w:rsid w:val="0031448A"/>
    <w:rsid w:val="00346137"/>
    <w:rsid w:val="0039366A"/>
    <w:rsid w:val="003A2C83"/>
    <w:rsid w:val="003E35F0"/>
    <w:rsid w:val="003F7E1D"/>
    <w:rsid w:val="00400E88"/>
    <w:rsid w:val="00402A26"/>
    <w:rsid w:val="004117E7"/>
    <w:rsid w:val="00424AC1"/>
    <w:rsid w:val="0042794A"/>
    <w:rsid w:val="00472FCC"/>
    <w:rsid w:val="004832E8"/>
    <w:rsid w:val="00485AB2"/>
    <w:rsid w:val="004C5D73"/>
    <w:rsid w:val="004E2AC2"/>
    <w:rsid w:val="0050016E"/>
    <w:rsid w:val="00525A44"/>
    <w:rsid w:val="00544D88"/>
    <w:rsid w:val="00574B0D"/>
    <w:rsid w:val="00575E0D"/>
    <w:rsid w:val="00587DDC"/>
    <w:rsid w:val="0060237C"/>
    <w:rsid w:val="006312AC"/>
    <w:rsid w:val="00632B15"/>
    <w:rsid w:val="00636F38"/>
    <w:rsid w:val="006B0A9E"/>
    <w:rsid w:val="006B5820"/>
    <w:rsid w:val="006C1469"/>
    <w:rsid w:val="006F3D6F"/>
    <w:rsid w:val="00736016"/>
    <w:rsid w:val="007508D2"/>
    <w:rsid w:val="00752719"/>
    <w:rsid w:val="00765ADD"/>
    <w:rsid w:val="007846C0"/>
    <w:rsid w:val="0079799E"/>
    <w:rsid w:val="007A6E65"/>
    <w:rsid w:val="007B0E26"/>
    <w:rsid w:val="007C3FFC"/>
    <w:rsid w:val="007E0CC6"/>
    <w:rsid w:val="007F1DE6"/>
    <w:rsid w:val="00816852"/>
    <w:rsid w:val="00856BD8"/>
    <w:rsid w:val="008A1678"/>
    <w:rsid w:val="008F0D08"/>
    <w:rsid w:val="009010DA"/>
    <w:rsid w:val="009054A2"/>
    <w:rsid w:val="00961A96"/>
    <w:rsid w:val="00966ED1"/>
    <w:rsid w:val="0097793D"/>
    <w:rsid w:val="00986978"/>
    <w:rsid w:val="009A2EA1"/>
    <w:rsid w:val="009B6103"/>
    <w:rsid w:val="00A011F9"/>
    <w:rsid w:val="00A7658D"/>
    <w:rsid w:val="00AA00D0"/>
    <w:rsid w:val="00AD72E3"/>
    <w:rsid w:val="00B906AF"/>
    <w:rsid w:val="00BB391C"/>
    <w:rsid w:val="00BC3848"/>
    <w:rsid w:val="00BD45B9"/>
    <w:rsid w:val="00BF5F01"/>
    <w:rsid w:val="00C4041C"/>
    <w:rsid w:val="00C4500D"/>
    <w:rsid w:val="00CE3118"/>
    <w:rsid w:val="00D81837"/>
    <w:rsid w:val="00DB5C3B"/>
    <w:rsid w:val="00DE1581"/>
    <w:rsid w:val="00DE6CA8"/>
    <w:rsid w:val="00E243AA"/>
    <w:rsid w:val="00E83A5C"/>
    <w:rsid w:val="00E8432B"/>
    <w:rsid w:val="00E855AA"/>
    <w:rsid w:val="00E87C4D"/>
    <w:rsid w:val="00EA6DFC"/>
    <w:rsid w:val="00EF3C16"/>
    <w:rsid w:val="00EF7AC3"/>
    <w:rsid w:val="00F1775C"/>
    <w:rsid w:val="00FA0141"/>
    <w:rsid w:val="00FB6B51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4B1E"/>
  <w15:chartTrackingRefBased/>
  <w15:docId w15:val="{211E7DFA-BC73-4042-87A0-34F80BE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48A"/>
  </w:style>
  <w:style w:type="paragraph" w:styleId="Footer">
    <w:name w:val="footer"/>
    <w:basedOn w:val="Normal"/>
    <w:link w:val="FooterChar"/>
    <w:uiPriority w:val="99"/>
    <w:unhideWhenUsed/>
    <w:rsid w:val="00314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Oughton</dc:creator>
  <cp:keywords/>
  <dc:description/>
  <cp:lastModifiedBy>Richard Oughton</cp:lastModifiedBy>
  <cp:revision>2</cp:revision>
  <dcterms:created xsi:type="dcterms:W3CDTF">2023-01-05T10:38:00Z</dcterms:created>
  <dcterms:modified xsi:type="dcterms:W3CDTF">2023-01-05T10:38:00Z</dcterms:modified>
</cp:coreProperties>
</file>